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42F" w:rsidRDefault="00F1542F">
      <w:pPr>
        <w:framePr w:w="1809" w:h="1803" w:wrap="around" w:vAnchor="page" w:hAnchor="page" w:x="9498" w:y="2887" w:anchorLock="1"/>
        <w:rPr>
          <w:rFonts w:cs="Arial"/>
          <w:bCs/>
          <w:sz w:val="16"/>
          <w:szCs w:val="16"/>
        </w:rPr>
      </w:pPr>
      <w:r>
        <w:rPr>
          <w:rFonts w:cs="Arial"/>
          <w:sz w:val="16"/>
          <w:szCs w:val="16"/>
        </w:rPr>
        <w:fldChar w:fldCharType="begin">
          <w:ffData>
            <w:name w:val="Text21"/>
            <w:enabled/>
            <w:calcOnExit w:val="0"/>
            <w:textInput>
              <w:default w:val="DEKRA e.V."/>
            </w:textInput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DEKRA e.V.</w:t>
      </w:r>
      <w:r>
        <w:rPr>
          <w:rFonts w:cs="Arial"/>
          <w:bCs/>
          <w:sz w:val="16"/>
          <w:szCs w:val="16"/>
        </w:rPr>
        <w:fldChar w:fldCharType="end"/>
      </w:r>
    </w:p>
    <w:p w:rsidR="00F1542F" w:rsidRDefault="00A373FE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  <w:r>
        <w:rPr>
          <w:sz w:val="16"/>
        </w:rPr>
        <w:fldChar w:fldCharType="begin">
          <w:ffData>
            <w:name w:val="Text22"/>
            <w:enabled/>
            <w:calcOnExit w:val="0"/>
            <w:textInput>
              <w:default w:val="Konzernkommunikation"/>
            </w:textInput>
          </w:ffData>
        </w:fldChar>
      </w:r>
      <w:r>
        <w:rPr>
          <w:sz w:val="16"/>
        </w:rPr>
        <w:instrText xml:space="preserve"> </w:instrText>
      </w:r>
      <w:bookmarkStart w:id="0" w:name="Text22"/>
      <w:r>
        <w:rPr>
          <w:sz w:val="16"/>
        </w:rPr>
        <w:instrText xml:space="preserve">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Konzernkommunikation</w:t>
      </w:r>
      <w:r>
        <w:rPr>
          <w:sz w:val="16"/>
        </w:rPr>
        <w:fldChar w:fldCharType="end"/>
      </w:r>
      <w:bookmarkEnd w:id="0"/>
    </w:p>
    <w:p w:rsidR="00F1542F" w:rsidRDefault="00F1542F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  <w:r>
        <w:rPr>
          <w:sz w:val="16"/>
        </w:rPr>
        <w:fldChar w:fldCharType="begin">
          <w:ffData>
            <w:name w:val="Text23"/>
            <w:enabled/>
            <w:calcOnExit w:val="0"/>
            <w:textInput>
              <w:default w:val="Handwerkstraße 15"/>
            </w:textInput>
          </w:ffData>
        </w:fldChar>
      </w:r>
      <w:bookmarkStart w:id="1" w:name="Text23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Handwerkstraße 15</w:t>
      </w:r>
      <w:r>
        <w:rPr>
          <w:sz w:val="16"/>
        </w:rPr>
        <w:fldChar w:fldCharType="end"/>
      </w:r>
      <w:bookmarkEnd w:id="1"/>
    </w:p>
    <w:p w:rsidR="00F1542F" w:rsidRDefault="00F1542F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  <w:r>
        <w:rPr>
          <w:sz w:val="16"/>
        </w:rPr>
        <w:fldChar w:fldCharType="begin">
          <w:ffData>
            <w:name w:val="Text24"/>
            <w:enabled/>
            <w:calcOnExit w:val="0"/>
            <w:textInput>
              <w:default w:val="D-70565 Stuttgart"/>
            </w:textInput>
          </w:ffData>
        </w:fldChar>
      </w:r>
      <w:bookmarkStart w:id="2" w:name="Text24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D-70565 Stuttgart</w:t>
      </w:r>
      <w:r>
        <w:rPr>
          <w:sz w:val="16"/>
        </w:rPr>
        <w:fldChar w:fldCharType="end"/>
      </w:r>
      <w:bookmarkEnd w:id="2"/>
    </w:p>
    <w:p w:rsidR="00F1542F" w:rsidRDefault="00F1542F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</w:p>
    <w:p w:rsidR="00F1542F" w:rsidRDefault="00F1542F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  <w:r>
        <w:rPr>
          <w:sz w:val="16"/>
        </w:rPr>
        <w:t>www.dekra.de</w:t>
      </w:r>
    </w:p>
    <w:p w:rsidR="00F1542F" w:rsidRDefault="00F1542F">
      <w:pPr>
        <w:framePr w:w="1809" w:h="1803" w:wrap="around" w:vAnchor="page" w:hAnchor="page" w:x="9498" w:y="2887" w:anchorLock="1"/>
        <w:spacing w:line="210" w:lineRule="exact"/>
        <w:rPr>
          <w:sz w:val="16"/>
        </w:rPr>
      </w:pPr>
    </w:p>
    <w:p w:rsidR="000810AA" w:rsidRDefault="00F1542F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17"/>
            <w:enabled/>
            <w:calcOnExit w:val="0"/>
            <w:textInput>
              <w:default w:val="Stuttgart"/>
            </w:textInput>
          </w:ffData>
        </w:fldChar>
      </w:r>
      <w:bookmarkStart w:id="3" w:name="Text17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Stuttgart</w:t>
      </w:r>
      <w:r>
        <w:rPr>
          <w:sz w:val="16"/>
          <w:szCs w:val="16"/>
        </w:rPr>
        <w:fldChar w:fldCharType="end"/>
      </w:r>
      <w:bookmarkEnd w:id="3"/>
      <w:r>
        <w:rPr>
          <w:sz w:val="16"/>
          <w:szCs w:val="16"/>
        </w:rPr>
        <w:t xml:space="preserve">, </w:t>
      </w:r>
      <w:r w:rsidR="00950887">
        <w:rPr>
          <w:sz w:val="16"/>
          <w:szCs w:val="16"/>
        </w:rPr>
        <w:t>27.06.2017</w:t>
      </w:r>
      <w:r w:rsidR="00335772">
        <w:rPr>
          <w:sz w:val="16"/>
          <w:szCs w:val="16"/>
        </w:rPr>
        <w:t xml:space="preserve"> / </w:t>
      </w:r>
      <w:r>
        <w:rPr>
          <w:sz w:val="16"/>
          <w:szCs w:val="16"/>
        </w:rPr>
        <w:t xml:space="preserve">Nr.: </w:t>
      </w:r>
      <w:r w:rsidR="00684BC1">
        <w:rPr>
          <w:sz w:val="16"/>
          <w:szCs w:val="16"/>
        </w:rPr>
        <w:t>062</w:t>
      </w:r>
    </w:p>
    <w:p w:rsidR="00F1542F" w:rsidRDefault="00F1542F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t>Tilman Vögele-Ebering</w:t>
      </w:r>
    </w:p>
    <w:p w:rsidR="00F1542F" w:rsidRDefault="006D5A2E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default w:val="+49.711.7861-2122"/>
            </w:textInput>
          </w:ffData>
        </w:fldChar>
      </w:r>
      <w:r>
        <w:rPr>
          <w:sz w:val="16"/>
          <w:szCs w:val="16"/>
        </w:rPr>
        <w:instrText xml:space="preserve"> </w:instrText>
      </w:r>
      <w:bookmarkStart w:id="4" w:name="Text6"/>
      <w:r>
        <w:rPr>
          <w:sz w:val="16"/>
          <w:szCs w:val="16"/>
        </w:rPr>
        <w:instrText xml:space="preserve">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+49.711.7861-2122</w:t>
      </w:r>
      <w:r>
        <w:rPr>
          <w:sz w:val="16"/>
          <w:szCs w:val="16"/>
        </w:rPr>
        <w:fldChar w:fldCharType="end"/>
      </w:r>
      <w:bookmarkEnd w:id="4"/>
    </w:p>
    <w:p w:rsidR="00F1542F" w:rsidRDefault="002B3416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default w:val="+49.711.7861-742122"/>
            </w:textInput>
          </w:ffData>
        </w:fldChar>
      </w:r>
      <w:bookmarkStart w:id="5" w:name="Text7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+49.711.7861-742122</w:t>
      </w:r>
      <w:r>
        <w:rPr>
          <w:sz w:val="16"/>
          <w:szCs w:val="16"/>
        </w:rPr>
        <w:fldChar w:fldCharType="end"/>
      </w:r>
      <w:bookmarkEnd w:id="5"/>
    </w:p>
    <w:p w:rsidR="00F1542F" w:rsidRDefault="00F1542F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t>tilman.voegele-ebering@dekra.com</w:t>
      </w:r>
    </w:p>
    <w:p w:rsidR="00F1542F" w:rsidRDefault="00F1542F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</w:p>
    <w:p w:rsidR="00F1542F" w:rsidRPr="00950887" w:rsidRDefault="00B508E6">
      <w:pPr>
        <w:framePr w:w="7496" w:h="1803" w:hRule="exact" w:hSpace="142" w:wrap="around" w:hAnchor="page" w:x="1532" w:y="13127" w:anchorLock="1"/>
        <w:spacing w:line="240" w:lineRule="exact"/>
        <w:ind w:right="-1"/>
        <w:rPr>
          <w:sz w:val="16"/>
          <w:szCs w:val="16"/>
        </w:rPr>
      </w:pPr>
      <w:r>
        <w:rPr>
          <w:sz w:val="16"/>
          <w:szCs w:val="16"/>
        </w:rPr>
        <w:t>1/</w:t>
      </w:r>
      <w:r w:rsidR="00C42762">
        <w:rPr>
          <w:sz w:val="16"/>
          <w:szCs w:val="16"/>
        </w:rPr>
        <w:t>2</w:t>
      </w:r>
    </w:p>
    <w:p w:rsidR="00F1542F" w:rsidRDefault="00F1542F">
      <w:pPr>
        <w:rPr>
          <w:b/>
          <w:i/>
          <w:iCs/>
          <w:sz w:val="32"/>
          <w:szCs w:val="28"/>
        </w:rPr>
      </w:pPr>
      <w:r>
        <w:rPr>
          <w:b/>
          <w:sz w:val="28"/>
          <w:szCs w:val="28"/>
        </w:rPr>
        <w:t>Presseinformation</w:t>
      </w:r>
      <w:r w:rsidR="00B33F72">
        <w:rPr>
          <w:b/>
          <w:sz w:val="28"/>
          <w:szCs w:val="28"/>
        </w:rPr>
        <w:t xml:space="preserve"> </w:t>
      </w:r>
      <w:r w:rsidR="00B33F72">
        <w:rPr>
          <w:b/>
          <w:sz w:val="28"/>
          <w:szCs w:val="28"/>
        </w:rPr>
        <w:tab/>
      </w:r>
      <w:r w:rsidR="00B33F72">
        <w:rPr>
          <w:b/>
          <w:sz w:val="28"/>
          <w:szCs w:val="28"/>
        </w:rPr>
        <w:tab/>
      </w:r>
      <w:r w:rsidR="00B33F72">
        <w:rPr>
          <w:b/>
          <w:sz w:val="28"/>
          <w:szCs w:val="28"/>
        </w:rPr>
        <w:tab/>
      </w:r>
      <w:r w:rsidR="00B33F72">
        <w:rPr>
          <w:b/>
          <w:sz w:val="28"/>
          <w:szCs w:val="28"/>
        </w:rPr>
        <w:tab/>
      </w:r>
      <w:r w:rsidR="00B33F72">
        <w:rPr>
          <w:b/>
          <w:sz w:val="28"/>
          <w:szCs w:val="28"/>
        </w:rPr>
        <w:tab/>
      </w:r>
    </w:p>
    <w:p w:rsidR="00F1542F" w:rsidRDefault="00F1542F">
      <w:pPr>
        <w:pStyle w:val="berschrift2"/>
        <w:widowControl w:val="0"/>
        <w:spacing w:before="0" w:line="320" w:lineRule="exact"/>
        <w:ind w:right="-1"/>
        <w:rPr>
          <w:rFonts w:cs="Arial"/>
          <w:b w:val="0"/>
          <w:szCs w:val="20"/>
          <w:u w:val="single"/>
        </w:rPr>
      </w:pPr>
    </w:p>
    <w:p w:rsidR="00F1542F" w:rsidRDefault="00F1542F">
      <w:pPr>
        <w:pStyle w:val="berschrift2"/>
        <w:widowControl w:val="0"/>
        <w:spacing w:before="0" w:line="320" w:lineRule="exact"/>
        <w:ind w:right="-1"/>
        <w:rPr>
          <w:rFonts w:cs="Arial"/>
          <w:b w:val="0"/>
          <w:szCs w:val="20"/>
          <w:u w:val="single"/>
        </w:rPr>
        <w:sectPr w:rsidR="00F1542F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type w:val="continuous"/>
          <w:pgSz w:w="11907" w:h="16840" w:code="9"/>
          <w:pgMar w:top="1639" w:right="2693" w:bottom="1418" w:left="1474" w:header="1276" w:footer="1814" w:gutter="0"/>
          <w:cols w:space="720"/>
          <w:titlePg/>
        </w:sectPr>
      </w:pPr>
    </w:p>
    <w:p w:rsidR="00F1542F" w:rsidRPr="002A0B69" w:rsidRDefault="00F1542F">
      <w:pPr>
        <w:pStyle w:val="berschrift2"/>
        <w:widowControl w:val="0"/>
        <w:spacing w:before="0" w:after="160" w:line="320" w:lineRule="exact"/>
        <w:jc w:val="both"/>
        <w:rPr>
          <w:rFonts w:cs="Arial"/>
          <w:szCs w:val="20"/>
        </w:rPr>
      </w:pPr>
    </w:p>
    <w:p w:rsidR="00916EA6" w:rsidRDefault="00B33F72">
      <w:pPr>
        <w:pStyle w:val="berschrift2"/>
        <w:widowControl w:val="0"/>
        <w:spacing w:before="0" w:after="120" w:line="320" w:lineRule="exact"/>
        <w:ind w:right="-1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Nachhaltigkeitsmagazin 201</w:t>
      </w:r>
      <w:r w:rsidR="00A07873">
        <w:rPr>
          <w:b w:val="0"/>
          <w:bCs w:val="0"/>
          <w:u w:val="single"/>
        </w:rPr>
        <w:t>7</w:t>
      </w:r>
      <w:r>
        <w:rPr>
          <w:b w:val="0"/>
          <w:bCs w:val="0"/>
          <w:u w:val="single"/>
        </w:rPr>
        <w:t xml:space="preserve"> veröffentlicht</w:t>
      </w:r>
    </w:p>
    <w:p w:rsidR="003027FE" w:rsidRDefault="00A72A80">
      <w:pPr>
        <w:pStyle w:val="berschrift1"/>
        <w:rPr>
          <w:rFonts w:cs="Arial"/>
        </w:rPr>
      </w:pPr>
      <w:r>
        <w:rPr>
          <w:rFonts w:cs="Arial"/>
        </w:rPr>
        <w:t xml:space="preserve">DEKRA entspricht </w:t>
      </w:r>
      <w:r w:rsidR="00A07873">
        <w:rPr>
          <w:rFonts w:cs="Arial"/>
        </w:rPr>
        <w:t>dem Deutschen Nachhaltigkeitskodex (DNK)</w:t>
      </w:r>
    </w:p>
    <w:p w:rsidR="00D76660" w:rsidRPr="002C1A27" w:rsidRDefault="00500DFD" w:rsidP="00D76660">
      <w:pPr>
        <w:numPr>
          <w:ilvl w:val="0"/>
          <w:numId w:val="13"/>
        </w:numPr>
        <w:spacing w:line="420" w:lineRule="exact"/>
        <w:ind w:right="369"/>
        <w:rPr>
          <w:rFonts w:cs="Arial"/>
        </w:rPr>
      </w:pPr>
      <w:r>
        <w:rPr>
          <w:rFonts w:cs="Arial"/>
        </w:rPr>
        <w:t>B</w:t>
      </w:r>
      <w:r w:rsidR="00D76660">
        <w:rPr>
          <w:rFonts w:cs="Arial"/>
        </w:rPr>
        <w:t xml:space="preserve">erichterstattung nach internationalem Standard </w:t>
      </w:r>
    </w:p>
    <w:p w:rsidR="00D76660" w:rsidRDefault="007D5547" w:rsidP="00D76660">
      <w:pPr>
        <w:numPr>
          <w:ilvl w:val="0"/>
          <w:numId w:val="13"/>
        </w:numPr>
        <w:spacing w:line="340" w:lineRule="exact"/>
        <w:ind w:left="357" w:right="369" w:hanging="357"/>
        <w:rPr>
          <w:rFonts w:cs="Arial"/>
        </w:rPr>
      </w:pPr>
      <w:r>
        <w:rPr>
          <w:rFonts w:cs="Arial"/>
        </w:rPr>
        <w:t xml:space="preserve">DEKRA </w:t>
      </w:r>
      <w:r w:rsidR="00A07873">
        <w:rPr>
          <w:rFonts w:cs="Arial"/>
        </w:rPr>
        <w:t>genau</w:t>
      </w:r>
      <w:r>
        <w:rPr>
          <w:rFonts w:cs="Arial"/>
        </w:rPr>
        <w:t xml:space="preserve"> 200. </w:t>
      </w:r>
      <w:r w:rsidR="00A07873">
        <w:rPr>
          <w:rFonts w:cs="Arial"/>
        </w:rPr>
        <w:t>Anwender des</w:t>
      </w:r>
      <w:r w:rsidR="00667CF9">
        <w:rPr>
          <w:rFonts w:cs="Arial"/>
        </w:rPr>
        <w:t xml:space="preserve"> </w:t>
      </w:r>
      <w:bookmarkStart w:id="6" w:name="_GoBack"/>
      <w:bookmarkEnd w:id="6"/>
      <w:r w:rsidR="00A07873">
        <w:rPr>
          <w:rFonts w:cs="Arial"/>
        </w:rPr>
        <w:t>DNK</w:t>
      </w:r>
    </w:p>
    <w:p w:rsidR="00D76660" w:rsidRDefault="00AA135E" w:rsidP="00D76660">
      <w:pPr>
        <w:numPr>
          <w:ilvl w:val="0"/>
          <w:numId w:val="13"/>
        </w:numPr>
        <w:spacing w:line="340" w:lineRule="exact"/>
        <w:ind w:left="357" w:right="369" w:hanging="357"/>
        <w:rPr>
          <w:rFonts w:cs="Arial"/>
        </w:rPr>
      </w:pPr>
      <w:r>
        <w:rPr>
          <w:rFonts w:cs="Arial"/>
        </w:rPr>
        <w:t xml:space="preserve">Nachhaltigkeitsmagazin 2017 informiert DEKRA Stakeholder </w:t>
      </w:r>
      <w:r w:rsidR="00D76660">
        <w:rPr>
          <w:rFonts w:cs="Arial"/>
        </w:rPr>
        <w:t xml:space="preserve"> </w:t>
      </w:r>
    </w:p>
    <w:p w:rsidR="000863DF" w:rsidRDefault="000863DF" w:rsidP="00DF4406">
      <w:pPr>
        <w:pStyle w:val="berschrift2"/>
        <w:widowControl w:val="0"/>
        <w:spacing w:before="0" w:line="280" w:lineRule="exact"/>
        <w:jc w:val="both"/>
      </w:pPr>
    </w:p>
    <w:p w:rsidR="00AA135E" w:rsidRDefault="00A72A80" w:rsidP="00DF4406">
      <w:pPr>
        <w:spacing w:line="280" w:lineRule="exact"/>
        <w:jc w:val="both"/>
      </w:pPr>
      <w:r w:rsidRPr="00DF4406">
        <w:rPr>
          <w:b/>
          <w:szCs w:val="22"/>
        </w:rPr>
        <w:t xml:space="preserve">DEKRA entspricht jetzt </w:t>
      </w:r>
      <w:r w:rsidRPr="003C0AFB">
        <w:rPr>
          <w:b/>
          <w:bCs/>
        </w:rPr>
        <w:t xml:space="preserve">offiziell dem Deutschen Nachhaltigkeitskodex (DNK). </w:t>
      </w:r>
      <w:r w:rsidR="00EB1F9F" w:rsidRPr="003C0AFB">
        <w:rPr>
          <w:b/>
          <w:bCs/>
        </w:rPr>
        <w:t xml:space="preserve">Die Geschäftsstelle des </w:t>
      </w:r>
      <w:r w:rsidRPr="003C0AFB">
        <w:rPr>
          <w:b/>
          <w:bCs/>
        </w:rPr>
        <w:t xml:space="preserve">DNK hat die </w:t>
      </w:r>
      <w:r w:rsidR="00A07873" w:rsidRPr="003C0AFB">
        <w:rPr>
          <w:b/>
          <w:bCs/>
        </w:rPr>
        <w:t>Entsprechung bestätigt</w:t>
      </w:r>
      <w:r w:rsidR="00C42762" w:rsidRPr="003C0AFB">
        <w:rPr>
          <w:b/>
          <w:bCs/>
        </w:rPr>
        <w:t xml:space="preserve"> </w:t>
      </w:r>
      <w:r w:rsidR="00C42762" w:rsidRPr="00DF4406">
        <w:rPr>
          <w:b/>
          <w:bCs/>
        </w:rPr>
        <w:t xml:space="preserve">und DEKRA </w:t>
      </w:r>
      <w:r w:rsidRPr="003C0AFB">
        <w:rPr>
          <w:b/>
          <w:bCs/>
        </w:rPr>
        <w:t xml:space="preserve">als 200. </w:t>
      </w:r>
      <w:r w:rsidR="00A07873" w:rsidRPr="003C0AFB">
        <w:rPr>
          <w:b/>
          <w:bCs/>
        </w:rPr>
        <w:t>Anwender</w:t>
      </w:r>
      <w:r w:rsidR="00165968">
        <w:rPr>
          <w:b/>
          <w:bCs/>
        </w:rPr>
        <w:t xml:space="preserve"> in den Kreis der mit dem führenden </w:t>
      </w:r>
      <w:r w:rsidR="00EB1F9F" w:rsidRPr="003C0AFB">
        <w:rPr>
          <w:b/>
          <w:bCs/>
        </w:rPr>
        <w:t xml:space="preserve">deutschen Nachhaltigkeitsstandard </w:t>
      </w:r>
      <w:r w:rsidR="00165968">
        <w:rPr>
          <w:b/>
          <w:bCs/>
        </w:rPr>
        <w:t>konformen Unternehmen</w:t>
      </w:r>
      <w:r w:rsidR="00C42762" w:rsidRPr="00DF4406">
        <w:rPr>
          <w:b/>
          <w:bCs/>
        </w:rPr>
        <w:t xml:space="preserve"> </w:t>
      </w:r>
      <w:r w:rsidR="00165968">
        <w:rPr>
          <w:b/>
          <w:bCs/>
        </w:rPr>
        <w:t>aufgenommen.</w:t>
      </w:r>
      <w:r w:rsidRPr="003C0AFB">
        <w:rPr>
          <w:b/>
          <w:bCs/>
        </w:rPr>
        <w:t xml:space="preserve"> </w:t>
      </w:r>
    </w:p>
    <w:p w:rsidR="00E72D6E" w:rsidRPr="00DF4406" w:rsidRDefault="00E72D6E" w:rsidP="00AA135E">
      <w:pPr>
        <w:spacing w:line="280" w:lineRule="exact"/>
        <w:jc w:val="both"/>
        <w:rPr>
          <w:sz w:val="12"/>
          <w:szCs w:val="12"/>
        </w:rPr>
      </w:pPr>
    </w:p>
    <w:p w:rsidR="00AA135E" w:rsidRDefault="0008333F" w:rsidP="00AA135E">
      <w:pPr>
        <w:spacing w:line="280" w:lineRule="exact"/>
        <w:jc w:val="both"/>
      </w:pPr>
      <w:r w:rsidRPr="00A72A80">
        <w:t>Der DNK (auch „</w:t>
      </w:r>
      <w:r w:rsidR="00A07873">
        <w:t xml:space="preserve">The </w:t>
      </w:r>
      <w:proofErr w:type="spellStart"/>
      <w:r w:rsidRPr="00A72A80">
        <w:t>Sustainability</w:t>
      </w:r>
      <w:proofErr w:type="spellEnd"/>
      <w:r w:rsidRPr="00A72A80">
        <w:t xml:space="preserve"> Code“) ist ein international anerkannter Nachhaltigkeitsstandard,</w:t>
      </w:r>
      <w:r w:rsidR="00A07873">
        <w:t xml:space="preserve"> der </w:t>
      </w:r>
      <w:r w:rsidR="00A07873" w:rsidRPr="00A07873">
        <w:t xml:space="preserve">einen Rahmen für die Berichterstattung </w:t>
      </w:r>
      <w:r w:rsidR="0046206A">
        <w:t>zu nichtfinanziellen Leistungen</w:t>
      </w:r>
      <w:r w:rsidR="00A07873" w:rsidRPr="00A07873">
        <w:t xml:space="preserve"> </w:t>
      </w:r>
      <w:r w:rsidR="00A07873">
        <w:t>bietet</w:t>
      </w:r>
      <w:r>
        <w:t>. Durch d</w:t>
      </w:r>
      <w:r w:rsidR="00A72A80" w:rsidRPr="00A72A80">
        <w:t xml:space="preserve">ie </w:t>
      </w:r>
      <w:r>
        <w:t>DNK-</w:t>
      </w:r>
      <w:r w:rsidR="00A72A80" w:rsidRPr="00A72A80">
        <w:t xml:space="preserve">Freigabe </w:t>
      </w:r>
      <w:r>
        <w:t xml:space="preserve"> dokumentiert die Expertenorganisation </w:t>
      </w:r>
      <w:r w:rsidR="00A72A80" w:rsidRPr="00A72A80">
        <w:t>DEKRA</w:t>
      </w:r>
      <w:r>
        <w:t xml:space="preserve">, dass sie Kunden, </w:t>
      </w:r>
      <w:r w:rsidR="00A72A80" w:rsidRPr="00A72A80">
        <w:t xml:space="preserve">Öffentlichkeit </w:t>
      </w:r>
      <w:r w:rsidR="00A07873">
        <w:t xml:space="preserve">und weitere Partner </w:t>
      </w:r>
      <w:r w:rsidR="00A72A80" w:rsidRPr="00A72A80">
        <w:t>glaubwürdig über</w:t>
      </w:r>
      <w:r>
        <w:t xml:space="preserve"> ihr </w:t>
      </w:r>
      <w:r w:rsidR="00A72A80" w:rsidRPr="00A72A80">
        <w:t>Nachhaltigkeitsprofil</w:t>
      </w:r>
      <w:r>
        <w:t xml:space="preserve"> informiert. </w:t>
      </w:r>
      <w:r w:rsidR="00AA135E">
        <w:t xml:space="preserve">Zudem </w:t>
      </w:r>
      <w:r w:rsidR="00165968">
        <w:t>nimmt</w:t>
      </w:r>
      <w:r w:rsidR="00AA135E">
        <w:t xml:space="preserve"> DEKRA </w:t>
      </w:r>
      <w:r w:rsidR="00165968">
        <w:t>an dem</w:t>
      </w:r>
      <w:r w:rsidR="00AA135E">
        <w:t xml:space="preserve"> DNK-</w:t>
      </w:r>
      <w:proofErr w:type="spellStart"/>
      <w:r w:rsidR="00AA135E">
        <w:t>Mentorenprogramm</w:t>
      </w:r>
      <w:proofErr w:type="spellEnd"/>
      <w:r w:rsidR="00AA135E">
        <w:t xml:space="preserve"> </w:t>
      </w:r>
      <w:r w:rsidR="00165968">
        <w:t>teil</w:t>
      </w:r>
      <w:r w:rsidR="00AA135E">
        <w:t xml:space="preserve">, um interessierte Unternehmen anhand der eigenen Erfahrungen an </w:t>
      </w:r>
      <w:r w:rsidR="00165968">
        <w:t>diesen</w:t>
      </w:r>
      <w:r w:rsidR="00AA135E">
        <w:t xml:space="preserve"> Standard heranzuführen.</w:t>
      </w:r>
    </w:p>
    <w:p w:rsidR="00E72D6E" w:rsidRPr="00DF4406" w:rsidRDefault="00E72D6E" w:rsidP="00DF4406">
      <w:pPr>
        <w:spacing w:line="280" w:lineRule="exact"/>
        <w:jc w:val="both"/>
        <w:rPr>
          <w:sz w:val="10"/>
          <w:szCs w:val="10"/>
        </w:rPr>
      </w:pPr>
    </w:p>
    <w:p w:rsidR="003E5194" w:rsidRDefault="00500DFD" w:rsidP="002D4114">
      <w:pPr>
        <w:spacing w:line="280" w:lineRule="exact"/>
        <w:jc w:val="both"/>
      </w:pPr>
      <w:r>
        <w:t xml:space="preserve">Parallel zum Geschäftsbericht 2016 hat DEKRA </w:t>
      </w:r>
      <w:r w:rsidR="002D4114">
        <w:t>auch</w:t>
      </w:r>
      <w:r>
        <w:t xml:space="preserve"> das </w:t>
      </w:r>
      <w:r w:rsidRPr="00A72A80">
        <w:t xml:space="preserve"> Nachhaltigkeitsmagazin 201</w:t>
      </w:r>
      <w:r w:rsidR="00A07873">
        <w:t>7</w:t>
      </w:r>
      <w:r w:rsidRPr="00A72A80">
        <w:t xml:space="preserve"> veröffentlicht. Es informiert über </w:t>
      </w:r>
      <w:r>
        <w:t xml:space="preserve">die </w:t>
      </w:r>
      <w:r w:rsidRPr="00A72A80">
        <w:t>Ausrichtung und Leistungen</w:t>
      </w:r>
      <w:r>
        <w:t xml:space="preserve"> von DEKRA</w:t>
      </w:r>
      <w:r w:rsidRPr="00A72A80">
        <w:t xml:space="preserve"> im </w:t>
      </w:r>
      <w:r w:rsidR="00BE4B22">
        <w:t>Handlungs</w:t>
      </w:r>
      <w:r w:rsidR="002D4114">
        <w:t>bereich</w:t>
      </w:r>
      <w:r w:rsidRPr="00A72A80">
        <w:t xml:space="preserve"> Sicherheit und Nachhaltigkeit.</w:t>
      </w:r>
      <w:r w:rsidR="002D4114">
        <w:t xml:space="preserve"> </w:t>
      </w:r>
    </w:p>
    <w:p w:rsidR="003E5194" w:rsidRDefault="003E5194" w:rsidP="002D4114">
      <w:pPr>
        <w:spacing w:line="280" w:lineRule="exact"/>
        <w:jc w:val="both"/>
      </w:pPr>
      <w:r w:rsidRPr="006D127E">
        <w:t>„Sicherheit und Nachhaltigkeit gehören für uns untrennbar zusammen. Denn Sicherheit ist eine Grundvoraussetzung für eine nachhaltige Entwicklung“,</w:t>
      </w:r>
      <w:r w:rsidRPr="003C0AFB">
        <w:t xml:space="preserve"> </w:t>
      </w:r>
      <w:r>
        <w:t>erläutert</w:t>
      </w:r>
      <w:r w:rsidRPr="003C0AFB">
        <w:t xml:space="preserve"> Stefan Kölbl, Vorsitzender des Vorstands DEKRA e.V. und DEKRA SE.</w:t>
      </w:r>
    </w:p>
    <w:p w:rsidR="00950887" w:rsidRDefault="00950887" w:rsidP="002D4114">
      <w:pPr>
        <w:spacing w:line="280" w:lineRule="exact"/>
        <w:jc w:val="both"/>
      </w:pPr>
    </w:p>
    <w:p w:rsidR="00950887" w:rsidRDefault="002D4114" w:rsidP="00DF4406">
      <w:pPr>
        <w:spacing w:line="280" w:lineRule="exact"/>
        <w:jc w:val="both"/>
      </w:pPr>
      <w:r>
        <w:t xml:space="preserve">DEKRA verfolgt ein individuelles Nachhaltigkeitsmanagement und orientiert sich dabei an den Werten des Unternehmens </w:t>
      </w:r>
      <w:r w:rsidR="00C42762">
        <w:t>sowie</w:t>
      </w:r>
      <w:r w:rsidR="009F0394">
        <w:t xml:space="preserve"> den Kriterien des DNK. DEKRA arbeitet systematisch daran, entlang der gesamten Wertschöpfungskette einen Beitrag zur Nachhaltigkeit zu leisten. </w:t>
      </w:r>
      <w:r w:rsidR="00C42762">
        <w:t>D</w:t>
      </w:r>
      <w:r w:rsidR="009F0394">
        <w:t xml:space="preserve">abei </w:t>
      </w:r>
      <w:r w:rsidR="00C42762">
        <w:t xml:space="preserve">hat </w:t>
      </w:r>
      <w:r w:rsidR="009F0394">
        <w:t>der Aspekt Sicherheit, der in einer zunehmend vernetzten und immer komplexer werdenden Umwelt weiter an Bedeutung gewinnt</w:t>
      </w:r>
      <w:r w:rsidR="0046206A">
        <w:t>,</w:t>
      </w:r>
      <w:r w:rsidR="009F0394">
        <w:t xml:space="preserve"> einen besonders wesentlichen </w:t>
      </w:r>
      <w:r w:rsidR="009F0394" w:rsidRPr="003C0AFB">
        <w:t>Einfluss.</w:t>
      </w:r>
      <w:r w:rsidR="003E5194">
        <w:t xml:space="preserve"> </w:t>
      </w:r>
    </w:p>
    <w:p w:rsidR="00950887" w:rsidRDefault="00950887" w:rsidP="00DF4406">
      <w:pPr>
        <w:spacing w:line="280" w:lineRule="exact"/>
        <w:jc w:val="both"/>
      </w:pPr>
    </w:p>
    <w:p w:rsidR="003C0AFB" w:rsidRDefault="003E5194" w:rsidP="00DF4406">
      <w:pPr>
        <w:spacing w:line="280" w:lineRule="exact"/>
        <w:jc w:val="both"/>
      </w:pPr>
      <w:r w:rsidRPr="006D127E">
        <w:t>„Das Unternehmen macht damit deutlich, dass es die nachhaltige Entwicklung der Gesellschaft durch die Förderung von Sicherheit mit ihren Dienstleistungen, ihrer Expertise und ihrem gesellschaftlichen Engagement unterstützt“,</w:t>
      </w:r>
      <w:r>
        <w:t xml:space="preserve"> sagt </w:t>
      </w:r>
      <w:r w:rsidRPr="00A72A80">
        <w:t xml:space="preserve">Ulrich </w:t>
      </w:r>
      <w:proofErr w:type="spellStart"/>
      <w:r w:rsidRPr="00A72A80">
        <w:t>Rothfuchs</w:t>
      </w:r>
      <w:proofErr w:type="spellEnd"/>
      <w:r w:rsidRPr="00A72A80">
        <w:t xml:space="preserve">, </w:t>
      </w:r>
      <w:r>
        <w:t xml:space="preserve">DEKRA </w:t>
      </w:r>
      <w:r w:rsidRPr="00A72A80">
        <w:t>Bereichsleiter Recht und verantwortlich für d</w:t>
      </w:r>
      <w:r>
        <w:t xml:space="preserve">as </w:t>
      </w:r>
      <w:r w:rsidRPr="00A72A80">
        <w:t>Nachhaltigkeit</w:t>
      </w:r>
      <w:r>
        <w:t>smanagement bei DEKRA</w:t>
      </w:r>
      <w:r w:rsidRPr="00A72A80">
        <w:t>.</w:t>
      </w:r>
      <w:r>
        <w:t xml:space="preserve"> </w:t>
      </w:r>
    </w:p>
    <w:p w:rsidR="00950887" w:rsidRDefault="00950887" w:rsidP="00DF4406">
      <w:pPr>
        <w:spacing w:line="280" w:lineRule="exact"/>
        <w:jc w:val="both"/>
      </w:pPr>
    </w:p>
    <w:p w:rsidR="003C0AFB" w:rsidRDefault="009A688A" w:rsidP="00DF4406">
      <w:pPr>
        <w:spacing w:line="280" w:lineRule="exact"/>
        <w:jc w:val="both"/>
      </w:pPr>
      <w:r>
        <w:lastRenderedPageBreak/>
        <w:t>DEKRA Nachhaltigkeitsmagazin 201</w:t>
      </w:r>
      <w:r w:rsidR="00990851">
        <w:t>7</w:t>
      </w:r>
      <w:r>
        <w:t xml:space="preserve"> zum </w:t>
      </w:r>
      <w:hyperlink r:id="rId12" w:history="1">
        <w:r w:rsidRPr="00E72D6E">
          <w:rPr>
            <w:rStyle w:val="Hyperlink"/>
          </w:rPr>
          <w:t>Download</w:t>
        </w:r>
      </w:hyperlink>
      <w:r>
        <w:t>:</w:t>
      </w:r>
    </w:p>
    <w:p w:rsidR="00990851" w:rsidRDefault="00667CF9" w:rsidP="00DF4406">
      <w:pPr>
        <w:spacing w:line="280" w:lineRule="exact"/>
        <w:jc w:val="both"/>
      </w:pPr>
      <w:hyperlink r:id="rId13" w:history="1">
        <w:r w:rsidR="00E72D6E" w:rsidRPr="00DF4406">
          <w:rPr>
            <w:rStyle w:val="Hyperlink"/>
          </w:rPr>
          <w:t>http://www.dekra.de/de/nachhaltigkeitsmanagement</w:t>
        </w:r>
      </w:hyperlink>
    </w:p>
    <w:p w:rsidR="00E72D6E" w:rsidRDefault="00E72D6E" w:rsidP="00B33F72">
      <w:pPr>
        <w:pStyle w:val="berschrift2"/>
        <w:spacing w:before="0" w:line="320" w:lineRule="exact"/>
        <w:jc w:val="both"/>
        <w:rPr>
          <w:rFonts w:cs="Arial"/>
          <w:i/>
          <w:iCs/>
          <w:sz w:val="20"/>
          <w:szCs w:val="20"/>
        </w:rPr>
      </w:pPr>
    </w:p>
    <w:p w:rsidR="003E5194" w:rsidRPr="003E5194" w:rsidRDefault="003E5194" w:rsidP="003E5194"/>
    <w:p w:rsidR="00B33F72" w:rsidRPr="00BD4B96" w:rsidRDefault="00B33F72" w:rsidP="000810AA">
      <w:pPr>
        <w:pStyle w:val="berschrift2"/>
        <w:spacing w:before="0" w:line="280" w:lineRule="exact"/>
        <w:jc w:val="both"/>
        <w:rPr>
          <w:rFonts w:cs="Arial"/>
          <w:i/>
          <w:iCs/>
          <w:sz w:val="20"/>
          <w:szCs w:val="20"/>
        </w:rPr>
      </w:pPr>
      <w:r w:rsidRPr="00BD4B96">
        <w:rPr>
          <w:rFonts w:cs="Arial"/>
          <w:i/>
          <w:iCs/>
          <w:sz w:val="20"/>
          <w:szCs w:val="20"/>
        </w:rPr>
        <w:t>Über DEKRA</w:t>
      </w:r>
    </w:p>
    <w:p w:rsidR="00B33F72" w:rsidRPr="0025339D" w:rsidRDefault="00B33F72" w:rsidP="000810AA">
      <w:pPr>
        <w:pStyle w:val="Textkrper3"/>
        <w:spacing w:line="280" w:lineRule="exact"/>
        <w:jc w:val="both"/>
        <w:rPr>
          <w:rFonts w:cs="Arial"/>
          <w:szCs w:val="22"/>
        </w:rPr>
      </w:pPr>
      <w:r>
        <w:rPr>
          <w:i/>
          <w:iCs/>
          <w:sz w:val="20"/>
        </w:rPr>
        <w:t xml:space="preserve">Seit mehr als 90 Jahren arbeitet DEKRA für die Sicherheit: Aus dem 1925 in Berlin gegründeten Deutschen Kraftfahrzeug-Überwachungs-Verein e.V. ist eine der </w:t>
      </w:r>
      <w:r w:rsidRPr="00BD4B96">
        <w:rPr>
          <w:i/>
          <w:iCs/>
          <w:sz w:val="20"/>
        </w:rPr>
        <w:t>weltweit führenden Expertenorganisationen</w:t>
      </w:r>
      <w:r>
        <w:rPr>
          <w:i/>
          <w:iCs/>
          <w:sz w:val="20"/>
        </w:rPr>
        <w:t xml:space="preserve"> geworden. Die DEKRA SE ist eine hundert</w:t>
      </w:r>
      <w:r w:rsidRPr="00BD4B96">
        <w:rPr>
          <w:i/>
          <w:iCs/>
          <w:sz w:val="20"/>
        </w:rPr>
        <w:t>prozentige Tochtergesellschaft des DEKRA e.V. und steuert das operative Geschäft des Konzerns.</w:t>
      </w:r>
      <w:r>
        <w:rPr>
          <w:i/>
          <w:iCs/>
          <w:sz w:val="20"/>
        </w:rPr>
        <w:t xml:space="preserve"> Im Jahr </w:t>
      </w:r>
      <w:r w:rsidRPr="005A6E9C">
        <w:rPr>
          <w:i/>
          <w:iCs/>
          <w:sz w:val="20"/>
        </w:rPr>
        <w:t>2016 hat DEKRA einen Umsatz von rund 2,9 Milliarden Euro erzielt. Mehr als 3</w:t>
      </w:r>
      <w:r>
        <w:rPr>
          <w:i/>
          <w:iCs/>
          <w:sz w:val="20"/>
        </w:rPr>
        <w:t>9</w:t>
      </w:r>
      <w:r w:rsidRPr="005A6E9C">
        <w:rPr>
          <w:i/>
          <w:iCs/>
          <w:sz w:val="20"/>
        </w:rPr>
        <w:t>.000</w:t>
      </w:r>
      <w:r>
        <w:rPr>
          <w:i/>
          <w:iCs/>
          <w:sz w:val="20"/>
        </w:rPr>
        <w:t xml:space="preserve"> Mitarbeiter sind in über 50 Ländern auf allen fünf Kontinenten im Einsatz. Mit </w:t>
      </w:r>
      <w:r w:rsidRPr="00FC59D3">
        <w:rPr>
          <w:i/>
          <w:iCs/>
          <w:sz w:val="20"/>
        </w:rPr>
        <w:t>qualifizierte</w:t>
      </w:r>
      <w:r>
        <w:rPr>
          <w:i/>
          <w:iCs/>
          <w:sz w:val="20"/>
        </w:rPr>
        <w:t>n</w:t>
      </w:r>
      <w:r w:rsidRPr="00FC59D3">
        <w:rPr>
          <w:i/>
          <w:iCs/>
          <w:sz w:val="20"/>
        </w:rPr>
        <w:t xml:space="preserve"> und </w:t>
      </w:r>
      <w:r>
        <w:rPr>
          <w:i/>
          <w:iCs/>
          <w:sz w:val="20"/>
        </w:rPr>
        <w:t>unabhängigen Expertend</w:t>
      </w:r>
      <w:r w:rsidRPr="00FC59D3">
        <w:rPr>
          <w:i/>
          <w:iCs/>
          <w:sz w:val="20"/>
        </w:rPr>
        <w:t>ienstleistungen</w:t>
      </w:r>
      <w:r>
        <w:rPr>
          <w:i/>
          <w:iCs/>
          <w:sz w:val="20"/>
        </w:rPr>
        <w:t xml:space="preserve"> arbeiten sie für die Sicherheit im Verkehr, bei der Arbeit und zu Hause. Das Portfolio reicht von </w:t>
      </w:r>
      <w:r w:rsidRPr="00FC59D3">
        <w:rPr>
          <w:i/>
          <w:iCs/>
          <w:sz w:val="20"/>
        </w:rPr>
        <w:t>Fahrzeugprüfung</w:t>
      </w:r>
      <w:r>
        <w:rPr>
          <w:i/>
          <w:iCs/>
          <w:sz w:val="20"/>
        </w:rPr>
        <w:t xml:space="preserve">en und </w:t>
      </w:r>
      <w:r w:rsidRPr="00FC59D3">
        <w:rPr>
          <w:i/>
          <w:iCs/>
          <w:sz w:val="20"/>
        </w:rPr>
        <w:t>Gutach</w:t>
      </w:r>
      <w:r>
        <w:rPr>
          <w:i/>
          <w:iCs/>
          <w:sz w:val="20"/>
        </w:rPr>
        <w:t>ten über</w:t>
      </w:r>
      <w:r w:rsidRPr="00FC59D3">
        <w:rPr>
          <w:i/>
          <w:iCs/>
          <w:sz w:val="20"/>
        </w:rPr>
        <w:t xml:space="preserve"> Schadenregulierung, </w:t>
      </w:r>
      <w:r>
        <w:rPr>
          <w:i/>
          <w:iCs/>
          <w:sz w:val="20"/>
        </w:rPr>
        <w:t>Industrie- und</w:t>
      </w:r>
      <w:r w:rsidRPr="00FC59D3">
        <w:rPr>
          <w:i/>
          <w:iCs/>
          <w:sz w:val="20"/>
        </w:rPr>
        <w:t xml:space="preserve"> Bauprüfung,</w:t>
      </w:r>
      <w:r>
        <w:rPr>
          <w:i/>
          <w:iCs/>
          <w:sz w:val="20"/>
        </w:rPr>
        <w:t xml:space="preserve"> Sicherheitsberatung sowie die Prüfung und Zertifizierung von Produkten und Systemen bis zu Schulungsangeboten und Zeitarbeit. Die Vision bis zum 100. Geburtstag im Jahr 2025 lautet: DEKRA wird der globale Partner für eine sichere Welt.</w:t>
      </w:r>
    </w:p>
    <w:p w:rsidR="007504F6" w:rsidRPr="00642B8D" w:rsidRDefault="007504F6" w:rsidP="00DF4406">
      <w:pPr>
        <w:spacing w:line="280" w:lineRule="exact"/>
        <w:jc w:val="both"/>
      </w:pPr>
    </w:p>
    <w:sectPr w:rsidR="007504F6" w:rsidRPr="00642B8D">
      <w:footerReference w:type="first" r:id="rId14"/>
      <w:endnotePr>
        <w:numFmt w:val="decimal"/>
      </w:endnotePr>
      <w:type w:val="continuous"/>
      <w:pgSz w:w="11907" w:h="16840" w:code="9"/>
      <w:pgMar w:top="2268" w:right="2551" w:bottom="1418" w:left="1474" w:header="1276" w:footer="68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AD8" w:rsidRDefault="009E4AD8">
      <w:r>
        <w:separator/>
      </w:r>
    </w:p>
  </w:endnote>
  <w:endnote w:type="continuationSeparator" w:id="0">
    <w:p w:rsidR="009E4AD8" w:rsidRDefault="009E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KRA-Futura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2F" w:rsidRDefault="00F1542F">
    <w:pPr>
      <w:framePr w:w="4145" w:h="442" w:hRule="exact" w:wrap="around" w:vAnchor="page" w:hAnchor="page" w:x="1441" w:y="16138"/>
      <w:spacing w:line="220" w:lineRule="exac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PAGE  \* MERGEFORMAT </w:instrText>
    </w:r>
    <w:r>
      <w:rPr>
        <w:sz w:val="16"/>
      </w:rPr>
      <w:fldChar w:fldCharType="separate"/>
    </w:r>
    <w:r w:rsidR="00667CF9">
      <w:rPr>
        <w:noProof/>
        <w:sz w:val="16"/>
      </w:rPr>
      <w:t>2</w:t>
    </w:r>
    <w:r>
      <w:rPr>
        <w:sz w:val="16"/>
      </w:rPr>
      <w:fldChar w:fldCharType="end"/>
    </w:r>
  </w:p>
  <w:p w:rsidR="00F1542F" w:rsidRDefault="00F1542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Datum</w:t>
    </w:r>
  </w:p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Kontakt</w:t>
    </w:r>
  </w:p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Telefon direkt</w:t>
    </w:r>
  </w:p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Telefax direkt</w:t>
    </w:r>
  </w:p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  <w:r>
      <w:rPr>
        <w:sz w:val="16"/>
      </w:rPr>
      <w:t>E-Mail</w:t>
    </w:r>
  </w:p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rFonts w:ascii="DEKRA-FuturaMedium" w:hAnsi="DEKRA-FuturaMedium"/>
        <w:sz w:val="16"/>
      </w:rPr>
    </w:pPr>
    <w:r>
      <w:rPr>
        <w:sz w:val="16"/>
      </w:rPr>
      <w:t>Seite</w:t>
    </w:r>
  </w:p>
  <w:p w:rsidR="00F1542F" w:rsidRDefault="00F1542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sz w:val="16"/>
      </w:rPr>
    </w:pPr>
  </w:p>
  <w:p w:rsidR="00F1542F" w:rsidRDefault="00F1542F">
    <w:pPr>
      <w:framePr w:w="1009" w:h="1786" w:hRule="exact" w:wrap="around" w:vAnchor="page" w:hAnchor="page" w:x="313" w:y="14766"/>
      <w:spacing w:line="240" w:lineRule="exact"/>
      <w:jc w:val="right"/>
      <w:rPr>
        <w:rFonts w:ascii="DEKRA-FuturaMedium" w:hAnsi="DEKRA-FuturaMedium"/>
        <w:sz w:val="16"/>
      </w:rPr>
    </w:pPr>
    <w:r>
      <w:rPr>
        <w:sz w:val="16"/>
      </w:rPr>
      <w:t>Seite</w:t>
    </w:r>
  </w:p>
  <w:p w:rsidR="00F1542F" w:rsidRDefault="00F1542F">
    <w:pPr>
      <w:spacing w:line="240" w:lineRule="exact"/>
      <w:rPr>
        <w:rFonts w:cs="Arial"/>
        <w:sz w:val="16"/>
      </w:rPr>
    </w:pPr>
    <w:r>
      <w:rPr>
        <w:rStyle w:val="Seitenzahl"/>
        <w:rFonts w:cs="Arial"/>
        <w:sz w:val="16"/>
      </w:rPr>
      <w:fldChar w:fldCharType="begin"/>
    </w:r>
    <w:r>
      <w:rPr>
        <w:rStyle w:val="Seitenzahl"/>
        <w:rFonts w:cs="Arial"/>
        <w:sz w:val="16"/>
      </w:rPr>
      <w:instrText xml:space="preserve"> PAGE </w:instrText>
    </w:r>
    <w:r>
      <w:rPr>
        <w:rStyle w:val="Seitenzahl"/>
        <w:rFonts w:cs="Arial"/>
        <w:sz w:val="16"/>
      </w:rPr>
      <w:fldChar w:fldCharType="separate"/>
    </w:r>
    <w:r w:rsidR="001B0545">
      <w:rPr>
        <w:rStyle w:val="Seitenzahl"/>
        <w:rFonts w:cs="Arial"/>
        <w:noProof/>
        <w:sz w:val="16"/>
      </w:rPr>
      <w:t>1</w:t>
    </w:r>
    <w:r>
      <w:rPr>
        <w:rStyle w:val="Seitenzahl"/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AD8" w:rsidRDefault="009E4AD8">
      <w:r>
        <w:separator/>
      </w:r>
    </w:p>
  </w:footnote>
  <w:footnote w:type="continuationSeparator" w:id="0">
    <w:p w:rsidR="009E4AD8" w:rsidRDefault="009E4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2F" w:rsidRDefault="00F1542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F1542F" w:rsidRDefault="00F1542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F1542F" w:rsidRDefault="00F1542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F1542F" w:rsidRDefault="00F1542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F1542F" w:rsidRDefault="00F1542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F1542F" w:rsidRDefault="00F1542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F1542F" w:rsidRDefault="00F1542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F1542F" w:rsidRDefault="00F1542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</w:p>
  <w:p w:rsidR="00F1542F" w:rsidRDefault="00F1542F">
    <w:pPr>
      <w:framePr w:w="1021" w:h="2234" w:hRule="exact" w:wrap="around" w:vAnchor="page" w:hAnchor="page" w:x="285" w:y="14204"/>
      <w:spacing w:line="240" w:lineRule="exact"/>
      <w:jc w:val="right"/>
      <w:rPr>
        <w:sz w:val="16"/>
      </w:rPr>
    </w:pPr>
    <w:r>
      <w:rPr>
        <w:sz w:val="16"/>
      </w:rPr>
      <w:t>Seite</w:t>
    </w:r>
  </w:p>
  <w:p w:rsidR="00F1542F" w:rsidRDefault="00667CF9">
    <w:pPr>
      <w:framePr w:w="3164" w:h="861" w:wrap="notBeside" w:vAnchor="page" w:hAnchor="page" w:x="6913" w:y="577"/>
      <w:rPr>
        <w:noProof/>
        <w:sz w:val="1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9.45pt;margin-top:2.4pt;width:108pt;height:29.95pt;z-index:251658240" fillcolor="window">
          <v:imagedata r:id="rId1" o:title=""/>
        </v:shape>
        <o:OLEObject Type="Embed" ProgID="Word.Picture.8" ShapeID="_x0000_s2051" DrawAspect="Content" ObjectID="_1559994425" r:id="rId2"/>
      </w:object>
    </w:r>
  </w:p>
  <w:p w:rsidR="00F1542F" w:rsidRDefault="00F1542F">
    <w:pPr>
      <w:framePr w:w="3164" w:h="861" w:wrap="notBeside" w:vAnchor="page" w:hAnchor="page" w:x="6913" w:y="577"/>
      <w:rPr>
        <w:noProof/>
        <w:vanish/>
        <w:spacing w:val="20"/>
        <w:sz w:val="4"/>
      </w:rPr>
    </w:pPr>
  </w:p>
  <w:p w:rsidR="00F1542F" w:rsidRDefault="00F1542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2F" w:rsidRDefault="00667CF9">
    <w:pPr>
      <w:framePr w:w="3164" w:h="861" w:wrap="notBeside" w:vAnchor="page" w:hAnchor="page" w:x="6913" w:y="577"/>
      <w:rPr>
        <w:noProof/>
        <w:sz w:val="1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45pt;margin-top:2.4pt;width:108pt;height:29.95pt;z-index:251657216" fillcolor="window">
          <v:imagedata r:id="rId1" o:title=""/>
        </v:shape>
        <o:OLEObject Type="Embed" ProgID="Word.Picture.8" ShapeID="_x0000_s2049" DrawAspect="Content" ObjectID="_1559994426" r:id="rId2"/>
      </w:object>
    </w:r>
  </w:p>
  <w:p w:rsidR="00F1542F" w:rsidRDefault="00F1542F">
    <w:pPr>
      <w:framePr w:w="3164" w:h="861" w:wrap="notBeside" w:vAnchor="page" w:hAnchor="page" w:x="6913" w:y="577"/>
      <w:rPr>
        <w:noProof/>
        <w:vanish/>
        <w:spacing w:val="20"/>
        <w:sz w:val="4"/>
      </w:rPr>
    </w:pPr>
  </w:p>
  <w:p w:rsidR="00F1542F" w:rsidRDefault="00F1542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602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A226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5749C0"/>
    <w:multiLevelType w:val="hybridMultilevel"/>
    <w:tmpl w:val="0B52C338"/>
    <w:lvl w:ilvl="0" w:tplc="BCC44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2E8D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A03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E0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2C52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B69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23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E4F8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E4D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5B7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731AD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3FD255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55E227D"/>
    <w:multiLevelType w:val="hybridMultilevel"/>
    <w:tmpl w:val="AC6051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60B6B"/>
    <w:multiLevelType w:val="hybridMultilevel"/>
    <w:tmpl w:val="637AB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724AA"/>
    <w:multiLevelType w:val="hybridMultilevel"/>
    <w:tmpl w:val="AB4291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336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2A67AE"/>
    <w:multiLevelType w:val="hybridMultilevel"/>
    <w:tmpl w:val="7F08D7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784E52"/>
    <w:multiLevelType w:val="multilevel"/>
    <w:tmpl w:val="7F08D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96"/>
    <w:rsid w:val="00035437"/>
    <w:rsid w:val="000435C4"/>
    <w:rsid w:val="000810AA"/>
    <w:rsid w:val="0008249E"/>
    <w:rsid w:val="0008333F"/>
    <w:rsid w:val="000863DF"/>
    <w:rsid w:val="00096F94"/>
    <w:rsid w:val="000A1808"/>
    <w:rsid w:val="000C2D0E"/>
    <w:rsid w:val="000C40F1"/>
    <w:rsid w:val="001057F8"/>
    <w:rsid w:val="00115D47"/>
    <w:rsid w:val="0014364A"/>
    <w:rsid w:val="001437AB"/>
    <w:rsid w:val="00165968"/>
    <w:rsid w:val="00165E2B"/>
    <w:rsid w:val="00167A2E"/>
    <w:rsid w:val="0017421D"/>
    <w:rsid w:val="00174E91"/>
    <w:rsid w:val="001855E4"/>
    <w:rsid w:val="00191399"/>
    <w:rsid w:val="001B0545"/>
    <w:rsid w:val="001B6D07"/>
    <w:rsid w:val="001C4FA2"/>
    <w:rsid w:val="001F3EFE"/>
    <w:rsid w:val="001F58D1"/>
    <w:rsid w:val="002040B3"/>
    <w:rsid w:val="00226C36"/>
    <w:rsid w:val="00236831"/>
    <w:rsid w:val="002472D6"/>
    <w:rsid w:val="0025374F"/>
    <w:rsid w:val="00254D10"/>
    <w:rsid w:val="002640E4"/>
    <w:rsid w:val="00266290"/>
    <w:rsid w:val="002863B8"/>
    <w:rsid w:val="002A0B69"/>
    <w:rsid w:val="002A23EC"/>
    <w:rsid w:val="002A33A9"/>
    <w:rsid w:val="002B3416"/>
    <w:rsid w:val="002C1DF9"/>
    <w:rsid w:val="002D4114"/>
    <w:rsid w:val="002D6554"/>
    <w:rsid w:val="002F21D6"/>
    <w:rsid w:val="002F4576"/>
    <w:rsid w:val="003027FE"/>
    <w:rsid w:val="003100B5"/>
    <w:rsid w:val="00315545"/>
    <w:rsid w:val="0033088F"/>
    <w:rsid w:val="00335772"/>
    <w:rsid w:val="00336A81"/>
    <w:rsid w:val="00356525"/>
    <w:rsid w:val="003569B3"/>
    <w:rsid w:val="00387931"/>
    <w:rsid w:val="003B45E5"/>
    <w:rsid w:val="003B5EAB"/>
    <w:rsid w:val="003B6A1D"/>
    <w:rsid w:val="003C0AFB"/>
    <w:rsid w:val="003D1923"/>
    <w:rsid w:val="003E5194"/>
    <w:rsid w:val="00401221"/>
    <w:rsid w:val="0040535C"/>
    <w:rsid w:val="00424A09"/>
    <w:rsid w:val="004328DF"/>
    <w:rsid w:val="00432E1F"/>
    <w:rsid w:val="00446359"/>
    <w:rsid w:val="00454D36"/>
    <w:rsid w:val="0045691E"/>
    <w:rsid w:val="0046206A"/>
    <w:rsid w:val="00494DF6"/>
    <w:rsid w:val="004B143C"/>
    <w:rsid w:val="004B3FB3"/>
    <w:rsid w:val="004C077E"/>
    <w:rsid w:val="004E05A3"/>
    <w:rsid w:val="004E2551"/>
    <w:rsid w:val="004F021C"/>
    <w:rsid w:val="004F3CBE"/>
    <w:rsid w:val="00500457"/>
    <w:rsid w:val="00500DFD"/>
    <w:rsid w:val="00504BAB"/>
    <w:rsid w:val="005354BB"/>
    <w:rsid w:val="005528B0"/>
    <w:rsid w:val="00566A12"/>
    <w:rsid w:val="005A45B8"/>
    <w:rsid w:val="005A73B0"/>
    <w:rsid w:val="005B65DB"/>
    <w:rsid w:val="00610963"/>
    <w:rsid w:val="00612E00"/>
    <w:rsid w:val="006158F8"/>
    <w:rsid w:val="00616995"/>
    <w:rsid w:val="006322DB"/>
    <w:rsid w:val="00633444"/>
    <w:rsid w:val="00641F50"/>
    <w:rsid w:val="0064286B"/>
    <w:rsid w:val="00642B8D"/>
    <w:rsid w:val="00643B79"/>
    <w:rsid w:val="00650E1C"/>
    <w:rsid w:val="0066565D"/>
    <w:rsid w:val="00665EC8"/>
    <w:rsid w:val="00667CF9"/>
    <w:rsid w:val="00684BC1"/>
    <w:rsid w:val="006A76DB"/>
    <w:rsid w:val="006D127E"/>
    <w:rsid w:val="006D5A2E"/>
    <w:rsid w:val="006D695E"/>
    <w:rsid w:val="006F117B"/>
    <w:rsid w:val="00716DCA"/>
    <w:rsid w:val="00726BB9"/>
    <w:rsid w:val="00731F4D"/>
    <w:rsid w:val="00742027"/>
    <w:rsid w:val="0074464C"/>
    <w:rsid w:val="007504F6"/>
    <w:rsid w:val="0077147E"/>
    <w:rsid w:val="00796313"/>
    <w:rsid w:val="007A23FB"/>
    <w:rsid w:val="007A2CF7"/>
    <w:rsid w:val="007A421B"/>
    <w:rsid w:val="007D52C9"/>
    <w:rsid w:val="007D5547"/>
    <w:rsid w:val="007E0907"/>
    <w:rsid w:val="007E5E5B"/>
    <w:rsid w:val="00805706"/>
    <w:rsid w:val="00815AAD"/>
    <w:rsid w:val="00833165"/>
    <w:rsid w:val="00847A28"/>
    <w:rsid w:val="0085294A"/>
    <w:rsid w:val="00871C41"/>
    <w:rsid w:val="00893E11"/>
    <w:rsid w:val="00893F76"/>
    <w:rsid w:val="00895A73"/>
    <w:rsid w:val="008A21FC"/>
    <w:rsid w:val="008B0E89"/>
    <w:rsid w:val="008B70AE"/>
    <w:rsid w:val="008D4F7E"/>
    <w:rsid w:val="008E637D"/>
    <w:rsid w:val="008E7D08"/>
    <w:rsid w:val="0091094F"/>
    <w:rsid w:val="00916486"/>
    <w:rsid w:val="00916EA6"/>
    <w:rsid w:val="00942521"/>
    <w:rsid w:val="00950887"/>
    <w:rsid w:val="009550EE"/>
    <w:rsid w:val="00961669"/>
    <w:rsid w:val="0097232E"/>
    <w:rsid w:val="00982256"/>
    <w:rsid w:val="00984880"/>
    <w:rsid w:val="00990851"/>
    <w:rsid w:val="009A688A"/>
    <w:rsid w:val="009B5689"/>
    <w:rsid w:val="009D3A59"/>
    <w:rsid w:val="009E12FD"/>
    <w:rsid w:val="009E4AD8"/>
    <w:rsid w:val="009E524C"/>
    <w:rsid w:val="009F0394"/>
    <w:rsid w:val="00A02415"/>
    <w:rsid w:val="00A07873"/>
    <w:rsid w:val="00A373FE"/>
    <w:rsid w:val="00A5484E"/>
    <w:rsid w:val="00A72A80"/>
    <w:rsid w:val="00A82491"/>
    <w:rsid w:val="00A86615"/>
    <w:rsid w:val="00A911D0"/>
    <w:rsid w:val="00A9171B"/>
    <w:rsid w:val="00AA135E"/>
    <w:rsid w:val="00AC46A7"/>
    <w:rsid w:val="00AC6FEF"/>
    <w:rsid w:val="00AD05E3"/>
    <w:rsid w:val="00AF672D"/>
    <w:rsid w:val="00B02030"/>
    <w:rsid w:val="00B33767"/>
    <w:rsid w:val="00B33F72"/>
    <w:rsid w:val="00B3733D"/>
    <w:rsid w:val="00B47FFA"/>
    <w:rsid w:val="00B508E6"/>
    <w:rsid w:val="00B63C0A"/>
    <w:rsid w:val="00B812D4"/>
    <w:rsid w:val="00B84C8F"/>
    <w:rsid w:val="00B95D58"/>
    <w:rsid w:val="00BB4492"/>
    <w:rsid w:val="00BC1DAA"/>
    <w:rsid w:val="00BC6B80"/>
    <w:rsid w:val="00BD13AA"/>
    <w:rsid w:val="00BE4B22"/>
    <w:rsid w:val="00BF1664"/>
    <w:rsid w:val="00C07C2E"/>
    <w:rsid w:val="00C24A83"/>
    <w:rsid w:val="00C26798"/>
    <w:rsid w:val="00C33C3D"/>
    <w:rsid w:val="00C36A96"/>
    <w:rsid w:val="00C40D84"/>
    <w:rsid w:val="00C42762"/>
    <w:rsid w:val="00C44DE5"/>
    <w:rsid w:val="00C5220E"/>
    <w:rsid w:val="00C63874"/>
    <w:rsid w:val="00C66004"/>
    <w:rsid w:val="00C70C4B"/>
    <w:rsid w:val="00C81CFA"/>
    <w:rsid w:val="00C833E1"/>
    <w:rsid w:val="00C9715F"/>
    <w:rsid w:val="00CA7513"/>
    <w:rsid w:val="00CE0DE5"/>
    <w:rsid w:val="00CE5664"/>
    <w:rsid w:val="00D202E5"/>
    <w:rsid w:val="00D429DA"/>
    <w:rsid w:val="00D44384"/>
    <w:rsid w:val="00D54E0C"/>
    <w:rsid w:val="00D60141"/>
    <w:rsid w:val="00D76660"/>
    <w:rsid w:val="00D844DD"/>
    <w:rsid w:val="00D84BDE"/>
    <w:rsid w:val="00D91FA1"/>
    <w:rsid w:val="00D9760A"/>
    <w:rsid w:val="00DB7DCF"/>
    <w:rsid w:val="00DF4406"/>
    <w:rsid w:val="00E257A4"/>
    <w:rsid w:val="00E44EF5"/>
    <w:rsid w:val="00E45035"/>
    <w:rsid w:val="00E53C01"/>
    <w:rsid w:val="00E72D6E"/>
    <w:rsid w:val="00E86748"/>
    <w:rsid w:val="00E909BC"/>
    <w:rsid w:val="00EA06FC"/>
    <w:rsid w:val="00EB1F9F"/>
    <w:rsid w:val="00EB2A7D"/>
    <w:rsid w:val="00EB4FAA"/>
    <w:rsid w:val="00EB5864"/>
    <w:rsid w:val="00EB6650"/>
    <w:rsid w:val="00ED33DE"/>
    <w:rsid w:val="00ED384B"/>
    <w:rsid w:val="00F1542F"/>
    <w:rsid w:val="00F2628F"/>
    <w:rsid w:val="00F77632"/>
    <w:rsid w:val="00F97B11"/>
    <w:rsid w:val="00FA2EA7"/>
    <w:rsid w:val="00FB53D0"/>
    <w:rsid w:val="00FD1F2C"/>
    <w:rsid w:val="00FD235A"/>
    <w:rsid w:val="00FD3B99"/>
    <w:rsid w:val="00F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0D2B318-442E-4A64-AF44-92704E93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120"/>
      <w:outlineLvl w:val="1"/>
    </w:pPr>
    <w:rPr>
      <w:b/>
      <w:bCs/>
      <w:szCs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Pressetext">
    <w:name w:val="Pressetext"/>
    <w:basedOn w:val="Standard"/>
    <w:pPr>
      <w:spacing w:line="280" w:lineRule="atLeast"/>
      <w:ind w:right="18"/>
      <w:jc w:val="both"/>
    </w:pPr>
    <w:rPr>
      <w:rFonts w:ascii="Helvetica" w:hAnsi="Helvetica"/>
    </w:rPr>
  </w:style>
  <w:style w:type="paragraph" w:styleId="Textkrper">
    <w:name w:val="Body Text"/>
    <w:basedOn w:val="Standard"/>
    <w:semiHidden/>
    <w:pPr>
      <w:spacing w:after="120" w:line="240" w:lineRule="atLeast"/>
      <w:jc w:val="both"/>
    </w:pPr>
    <w:rPr>
      <w:rFonts w:ascii="Helv" w:hAnsi="Helv"/>
      <w:color w:val="000000"/>
      <w:sz w:val="20"/>
    </w:rPr>
  </w:style>
  <w:style w:type="paragraph" w:styleId="Textkrper2">
    <w:name w:val="Body Text 2"/>
    <w:basedOn w:val="Standard"/>
    <w:semiHidden/>
    <w:pPr>
      <w:tabs>
        <w:tab w:val="left" w:pos="1985"/>
      </w:tabs>
    </w:pPr>
    <w:rPr>
      <w:b/>
      <w:snapToGrid w:val="0"/>
      <w:color w:val="000000"/>
      <w:sz w:val="24"/>
    </w:rPr>
  </w:style>
  <w:style w:type="paragraph" w:styleId="Beschriftung">
    <w:name w:val="caption"/>
    <w:basedOn w:val="Standard"/>
    <w:next w:val="Standard"/>
    <w:qFormat/>
    <w:pPr>
      <w:framePr w:w="7791" w:h="1540" w:hRule="exact" w:wrap="around" w:vAnchor="page" w:hAnchor="page" w:x="1475" w:y="2737" w:anchorLock="1"/>
      <w:spacing w:line="480" w:lineRule="exact"/>
    </w:pPr>
    <w:rPr>
      <w:u w:val="single"/>
    </w:rPr>
  </w:style>
  <w:style w:type="paragraph" w:styleId="Textkrper3">
    <w:name w:val="Body Text 3"/>
    <w:basedOn w:val="Standard"/>
    <w:link w:val="Textkrper3Zchn"/>
    <w:rPr>
      <w:snapToGrid w:val="0"/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customStyle="1" w:styleId="Text">
    <w:name w:val="Text"/>
    <w:pPr>
      <w:spacing w:after="56"/>
    </w:pPr>
    <w:rPr>
      <w:rFonts w:ascii="Arial" w:hAnsi="Arial"/>
      <w:snapToGrid w:val="0"/>
      <w:color w:val="000000"/>
      <w:sz w:val="22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character" w:customStyle="1" w:styleId="mw-headline">
    <w:name w:val="mw-headline"/>
    <w:basedOn w:val="Absatz-Standardschriftart"/>
  </w:style>
  <w:style w:type="paragraph" w:customStyle="1" w:styleId="a0">
    <w:name w:val="a0"/>
    <w:basedOn w:val="Standard"/>
    <w:rsid w:val="001436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1">
    <w:name w:val="a1"/>
    <w:basedOn w:val="Standard"/>
    <w:rsid w:val="0014364A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14364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31">
    <w:name w:val="f31"/>
    <w:rsid w:val="0014364A"/>
    <w:rPr>
      <w:rFonts w:ascii="Times New Roman" w:hAnsi="Times New Roman" w:cs="Times New Roman" w:hint="default"/>
      <w:color w:val="000000"/>
      <w:sz w:val="32"/>
      <w:szCs w:val="32"/>
    </w:rPr>
  </w:style>
  <w:style w:type="character" w:customStyle="1" w:styleId="f41">
    <w:name w:val="f41"/>
    <w:rsid w:val="0014364A"/>
    <w:rPr>
      <w:rFonts w:ascii="Arial" w:hAnsi="Arial" w:cs="Arial" w:hint="default"/>
      <w:color w:val="000000"/>
      <w:sz w:val="22"/>
      <w:szCs w:val="22"/>
    </w:rPr>
  </w:style>
  <w:style w:type="character" w:customStyle="1" w:styleId="f110">
    <w:name w:val="f110"/>
    <w:rsid w:val="0014364A"/>
    <w:rPr>
      <w:rFonts w:ascii="Arial" w:hAnsi="Arial" w:cs="Arial" w:hint="default"/>
      <w:sz w:val="24"/>
      <w:szCs w:val="24"/>
    </w:rPr>
  </w:style>
  <w:style w:type="character" w:customStyle="1" w:styleId="f51">
    <w:name w:val="f51"/>
    <w:rsid w:val="0014364A"/>
    <w:rPr>
      <w:rFonts w:ascii="Arial" w:hAnsi="Arial" w:cs="Arial" w:hint="default"/>
      <w:sz w:val="24"/>
      <w:szCs w:val="24"/>
    </w:rPr>
  </w:style>
  <w:style w:type="paragraph" w:styleId="Aufzhlungszeichen">
    <w:name w:val="List Bullet"/>
    <w:basedOn w:val="Standard"/>
    <w:uiPriority w:val="99"/>
    <w:unhideWhenUsed/>
    <w:rsid w:val="009550EE"/>
    <w:pPr>
      <w:numPr>
        <w:numId w:val="12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2A7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B2A7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E1A9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B33F72"/>
    <w:rPr>
      <w:rFonts w:ascii="Arial" w:hAnsi="Arial"/>
      <w:b/>
      <w:bCs/>
      <w:sz w:val="22"/>
      <w:szCs w:val="22"/>
    </w:rPr>
  </w:style>
  <w:style w:type="character" w:customStyle="1" w:styleId="Textkrper3Zchn">
    <w:name w:val="Textkörper 3 Zchn"/>
    <w:basedOn w:val="Absatz-Standardschriftart"/>
    <w:link w:val="Textkrper3"/>
    <w:rsid w:val="00B33F72"/>
    <w:rPr>
      <w:rFonts w:ascii="Arial" w:hAnsi="Arial"/>
      <w:snapToGrid w:val="0"/>
      <w:color w:val="000000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0A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0AF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0AF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0A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0AFB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3C0AF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dekra.de/de/nachhaltigkeitsmanage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kra.de/de/c/document_library/get_file?uuid=f5f75d49-fca8-4180-bff2-cd1e148c9e99&amp;groupId=101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8286E-286F-409B-AF6B-40FBE353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CC2EF43C.dotm</Template>
  <TotalTime>0</TotalTime>
  <Pages>2</Pages>
  <Words>427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vebacom</Company>
  <LinksUpToDate>false</LinksUpToDate>
  <CharactersWithSpaces>3841</CharactersWithSpaces>
  <SharedDoc>false</SharedDoc>
  <HLinks>
    <vt:vector size="6" baseType="variant">
      <vt:variant>
        <vt:i4>8257578</vt:i4>
      </vt:variant>
      <vt:variant>
        <vt:i4>42</vt:i4>
      </vt:variant>
      <vt:variant>
        <vt:i4>0</vt:i4>
      </vt:variant>
      <vt:variant>
        <vt:i4>5</vt:i4>
      </vt:variant>
      <vt:variant>
        <vt:lpwstr>http://www.umweltbundesamt.de/sites/default/files/medien/publikation/long/3689.pdf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Wolfgang</dc:creator>
  <cp:keywords/>
  <cp:lastModifiedBy>Vögele-Ebering Tilman</cp:lastModifiedBy>
  <cp:revision>8</cp:revision>
  <cp:lastPrinted>2017-06-08T13:10:00Z</cp:lastPrinted>
  <dcterms:created xsi:type="dcterms:W3CDTF">2017-06-19T10:36:00Z</dcterms:created>
  <dcterms:modified xsi:type="dcterms:W3CDTF">2017-06-26T13:00:00Z</dcterms:modified>
</cp:coreProperties>
</file>